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the basic definition of a black hole?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the “event horizon” of a black hole?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the difference between a Reissner-Nordstrom and a Kerr-Nordstrom black hole?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a common misconception of black holes?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Briefly describe in your own words how black holes are formed.  BE BRIEF!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720" w:before="0" w:line="240" w:lineRule="auto"/>
      <w:ind w:right="360"/>
      <w:contextualSpacing w:val="0"/>
    </w:pPr>
    <w:r w:rsidDel="00000000" w:rsidR="00000000" w:rsidRPr="00000000">
      <w:rPr>
        <w:rtl w:val="0"/>
      </w:rPr>
    </w:r>
  </w:p>
</w:ftr>
</file>

<file path=word/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</w:pPr>
    <w:r w:rsidDel="00000000" w:rsidR="00000000" w:rsidRPr="00000000">
      <w:rPr>
        <w:sz w:val="24"/>
        <w:szCs w:val="24"/>
        <w:vertAlign w:val="baseline"/>
        <w:rtl w:val="0"/>
      </w:rPr>
      <w:t xml:space="preserve">Name _________________________</w:t>
      <w:tab/>
      <w:tab/>
      <w:t xml:space="preserve">Date 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Astronomy</w:t>
      <w:tab/>
      <w:tab/>
      <w:tab/>
      <w:tab/>
      <w:tab/>
      <w:tab/>
      <w:t xml:space="preserve">HWQ Black Hole Math pgs. 1-3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.xml"/><Relationship Id="rId6" Type="http://schemas.openxmlformats.org/officeDocument/2006/relationships/footer" Target="footer.xml"/></Relationships>
</file>